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75" w:rsidRPr="00056C32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056C32">
        <w:rPr>
          <w:b/>
          <w:lang w:val="uk-UA"/>
        </w:rPr>
        <w:t>Марганецький коледж</w:t>
      </w: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D64357">
        <w:rPr>
          <w:b/>
          <w:lang w:val="uk-UA"/>
        </w:rPr>
        <w:t>ДВНЗ «Національний гірничий університет»</w:t>
      </w: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Pr="00D64357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Pr="00B31938" w:rsidRDefault="003B2675" w:rsidP="003B26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І Н С Т Р У К Ц І 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№38</w:t>
      </w:r>
    </w:p>
    <w:p w:rsidR="003B2675" w:rsidRDefault="003B2675" w:rsidP="003B267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охорони праці та безпеки життєдіяльності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проведення занять з фізичної культури  та спорту</w:t>
      </w: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Pr="00D64357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 р.</w:t>
      </w: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  <w:r w:rsidRPr="00D64357">
        <w:rPr>
          <w:u w:val="single"/>
          <w:lang w:val="uk-UA"/>
        </w:rPr>
        <w:lastRenderedPageBreak/>
        <w:t>Марганецький коледж ДВНЗ «Національний гірничий університет</w:t>
      </w:r>
      <w:r>
        <w:rPr>
          <w:lang w:val="uk-UA"/>
        </w:rPr>
        <w:t>»</w:t>
      </w: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A45320" w:rsidRDefault="00A45320" w:rsidP="00A4532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A45320" w:rsidRDefault="00A45320" w:rsidP="00A4532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A45320" w:rsidRDefault="00A45320" w:rsidP="00A45320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rStyle w:val="a4"/>
          <w:lang w:val="uk-UA"/>
        </w:rPr>
        <w:t>Затверджено</w:t>
      </w:r>
    </w:p>
    <w:p w:rsidR="00A45320" w:rsidRDefault="00A45320" w:rsidP="00A45320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Наказом директора </w:t>
      </w:r>
    </w:p>
    <w:p w:rsidR="00A45320" w:rsidRDefault="00A45320" w:rsidP="00A45320">
      <w:pPr>
        <w:pStyle w:val="a3"/>
        <w:spacing w:before="0" w:beforeAutospacing="0" w:after="0" w:afterAutospacing="0"/>
        <w:ind w:firstLine="6379"/>
        <w:rPr>
          <w:lang w:val="uk-UA"/>
        </w:rPr>
      </w:pPr>
      <w:proofErr w:type="spellStart"/>
      <w:r>
        <w:rPr>
          <w:lang w:val="uk-UA"/>
        </w:rPr>
        <w:t>МК</w:t>
      </w:r>
      <w:proofErr w:type="spellEnd"/>
      <w:r>
        <w:rPr>
          <w:lang w:val="uk-UA"/>
        </w:rPr>
        <w:t xml:space="preserve"> ДВНЗ «НГУ»</w:t>
      </w:r>
    </w:p>
    <w:p w:rsidR="00A45320" w:rsidRDefault="00A45320" w:rsidP="00A45320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від 0712.2016 р. № 74 </w:t>
      </w:r>
      <w:r w:rsidRPr="003E2EDB">
        <w:rPr>
          <w:u w:val="single"/>
          <w:vertAlign w:val="superscript"/>
          <w:lang w:val="uk-UA"/>
        </w:rPr>
        <w:t>Г</w:t>
      </w:r>
    </w:p>
    <w:p w:rsidR="00A45320" w:rsidRDefault="00A45320" w:rsidP="00A45320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>Івановою В.І.</w:t>
      </w:r>
    </w:p>
    <w:p w:rsidR="00A45320" w:rsidRDefault="00A45320" w:rsidP="00A4532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A45320" w:rsidRDefault="00A45320" w:rsidP="00A4532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A45320" w:rsidRDefault="00A45320" w:rsidP="00A4532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3B2675" w:rsidRPr="00B31938" w:rsidRDefault="003B2675" w:rsidP="003B26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І Н С Т Р У К Ц І 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№38</w:t>
      </w:r>
    </w:p>
    <w:p w:rsidR="003B2675" w:rsidRDefault="003B2675" w:rsidP="003B267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охорони праці та безпеки життєдіяльності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проведення занять з фізичної культури  та спорту</w:t>
      </w: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Pr="00D64357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3B2675" w:rsidRDefault="003B2675" w:rsidP="003B2675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 р.</w:t>
      </w:r>
    </w:p>
    <w:p w:rsidR="00A45320" w:rsidRDefault="00A45320" w:rsidP="003B26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320" w:rsidRDefault="00A45320" w:rsidP="003B26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675" w:rsidRP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1.Загальні положення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1.1. До занять з фізичної культури та спорту (на </w:t>
      </w:r>
      <w:r w:rsidR="003B2675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26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 гуртках фізичної культури, спортивних секціях, групах загальної фізичної підготовки) </w:t>
      </w:r>
      <w:r w:rsidR="003B267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675">
        <w:rPr>
          <w:rFonts w:ascii="Times New Roman" w:hAnsi="Times New Roman" w:cs="Times New Roman"/>
          <w:sz w:val="28"/>
          <w:szCs w:val="28"/>
          <w:lang w:val="uk-UA"/>
        </w:rPr>
        <w:t xml:space="preserve">коледжі 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допускаються особи, які пройшли медичний огляд і не мають протипоказань щодо стану здоров’я, пройшли відповідні інструктажі з охорони праці.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1.2. Висновок про стан здоров’я студентів, медперсонал доводить до відома викладача фізкультури. На підставі цих даних студенти розподіляються для занять фізкультурою на основну, підготовчу та спеціальну групи.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1.3. Ці міри безпеки є обов’язковими для виконання медичними працівниками, викладачами фізичної культури та особами, які проводять фізкультурно-масову, спортивну, оздоровчу роботу під час навчання чи відпочинку в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і, а також для усіх студентів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1.4. Під час занять з фізкультури та спорту як на уроках так і в позаурочний час, студенти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у повинні обов’язково користуватися спеціальним спортивним одягом (спортивний костюм) та спортивним взуттям, що визначаються правилами проведення змагань з окремих видів спорту. Знаходитись студенту та викладачу на заняттях без спортивного одягу і спортивного взуття категорично заборонено.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1.5. Для надання першої медичної допомоги студентам у спортзалі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у має бути аптечка (на відкритих спортивних майданчиках – переносна аптечка) з набором медикаментів, перев’язувальних матеріалів, засобів для надання першої долікарської допомоги у разі травм та пошкоджень.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1.6. Під час проведення спортивних змагань у спортивному залі чи на відкритому майданчику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у, обов’язково повинен бути присутній медпрацівник.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1.7. Кількість місць у спортивному залі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>у під час проведення занять встановлюється із розрахунку 2,8 м</w:t>
      </w:r>
      <w:r w:rsidR="0097273E" w:rsidRPr="0097273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. Заповнювати спортивний зал понад встановлену норму категорично заборонено.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1.8. Підлога спортивного залу має бути пружною, без щілин та мати рівну, горизонтальну і неслизьку поверхню. </w:t>
      </w:r>
    </w:p>
    <w:p w:rsidR="0097273E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1.9. Поверхня підлоги не повинна деформуватися від миття і до початку занять має бути сухою і чистою.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1.10. Температура у роздягальні для студентів має бути не нижче за 18-20 градусів, у спортивному залі не нижче 15 градусів.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1.11. У спортивному залі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відповідному місці має бути розміщений план евакуації на випадок пожежі.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1.12. Забороняється забивати наглухо і захаращувати двері запасних виходів із спортивного залу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1.13. У кожному спортивному залі має бути не менше двох пінних або порошкових вогнегасників.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1.14. Необхідно дотримуватись вимог особистої гігієни, а саме: вживати їжу у кімнаті пристосованій для цього (їдальні); перед вживанням їжі обов’язково ретельно мити руки з милом.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1.15. Необхідно уміти надати першу (долікарську) допомогу при кровотечах, переломах, порізах, ураженнях електричним струмом, раптовому захворюванні.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1.16. За порушення вимог інструкції працівник, студент притягується до дисциплінарної, адміністративної, матеріальної, кримінальної відповідальності згідно із законодавством України. </w:t>
      </w:r>
    </w:p>
    <w:p w:rsidR="003B2675" w:rsidRPr="0097273E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Вимоги безпеки перед початком роботи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2.1. Роздягальні спортивного залу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у мають бути відкриті за 10 хвилин до початку занять.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2.2. Чергові груп, у яких повинні проходити заняття, змагання чи інші заходи з фізкультури та спорту, приймають роздягальню і відповідають за чистоту та порядок у ній.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2.3. У роздягальні ні в якому разі не можна штовхатися. Усі речі необхідно розміщувати так, щоб вони не становили будь-яку загрозу здоров’ю студентів.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2.4. Вхід студентів у спортивний зал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у після початку занять або інших заходів забороняється. </w:t>
      </w:r>
    </w:p>
    <w:p w:rsidR="003B2675" w:rsidRPr="0097273E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Вимоги безпеки під час роботи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>3.1. Необхідно су</w:t>
      </w:r>
      <w:r w:rsidR="0097273E" w:rsidRPr="003B2675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ро дотримуватись вимог охорони праці та безпеки життєдіяльності на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фізкультури та інших заходах з фізкультури та спорту.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3.2. Будь-які заняття у спортивному залі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проводити лише у присутності викладача фізкультури або його заступника.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3.3. На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фізкультури студенти повинні бути одягнені тільки у спортивну форму, спортивне взуття, нігті коротко обрізані, волосся старанно підібране.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3.4. Взуття має бути лише на гумовій підошві.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3.5. У місцях стрибків обов’язково повинні лежати мати.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3.6. Ні в якому разі не виконувати вправи на приладах без страхування.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3.7. Не можна стояти поблизу гімнастичного приладу під час виконання студентом вправ.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3.8. При виконанні вправ поточним методом, слідувати один за одним необхідно з інтервалом.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3.9. При виконанні стрибків, приземлення має бути м’яким з поступовим присіданням.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3.10. Ні в якому разі не можна виконувати вправи з вологими долонями.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3.11. Після занять потрібно обов’язково ретельно мити руки з милом.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3.12. Необхідно бути уважним при виконанні вправ, при переходах від приладу до приладу.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3.13. Перед виконанням вправ на приладах, необхідно обов’язково перевірити закручення гвинтів.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3.14. Спортивна форма та спортивне взуття завжди повинні бути чистими.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3.15. Взуття має відповідати розміру, що носить студент.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3.16. При поганому самопочутті, будь-яких пошкодженнях, запамороченнях, болях у серці, печінці, шлунково-кишкових розладах необхідно терміново звертатись до керівника.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3.17. З метою запобігання травм не дозволяється: заходити до спортзалу без спортивного взуття; вживати жувальну гумку на уроці або інших занять у спортзалі; носити на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фізкультури ланцюжки, обручки, годинники; штовхати у спину особу, яка біжить попереду; підсідати під гравця, який вистрибує; робити підніжки, чіплятися за форму; переносити важкі прилади без дозволу викладача; змінювати висоту приладів без дозволу викладача; переходити від приладу до приладу без дозволу викладача. </w:t>
      </w:r>
    </w:p>
    <w:p w:rsidR="0097273E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3.18. Під час занять з гімнастики: гімнастичні прилади не повинні мати у складальних одиницях і з’єднаннях люфтів, коливань, прогинів. Деталі скріплень мають бути надійно закручені; робоча поверхня перекладини, брусів має бути гладенькою; пластини для скріплення гаків розтяжок мають бути щільно прикручені до підлоги і заглиблені врівень з підлогою; гімнастичні мати необхідно укладати впритул навколо гімнастичного приладу так, щоб вони перекривали площу зіскоку та можливого зриву або падіння; гімнастичний місток повинен бути вкритий гумою, щоб запобігти ковзанню під час відштовхування. </w:t>
      </w:r>
    </w:p>
    <w:p w:rsidR="0097273E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До занять з гімнастики допускаються особи, які пройшли медогляд та інструктаж з охорони праці та БЖД. Можливість отримання травм під час виконання вправ з гімнастики: на несправних приладах; без належної страховки; без застосування гімнастичних матів; на забруднених спортивних приладах, а також під час виконання вправ на приладах з вологими долонями. Вимоги безпеки до початку занять: спортивне взуття має бути з 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неслизькою підошвою; необхідно протерти жердину перекладини сухою ганчіркою і зачистити наждачним папером; перевірити надійність кріплення перекладини, коня і козла, стопорних гвинтів на брусах; у необхідних місцях приготувати гімнастичні мати. </w:t>
      </w:r>
    </w:p>
    <w:p w:rsidR="003B267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>Поверхня їх має бути рівною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занять. не виконувати вправ на приладах без дозволу керівника або його помічника, а також без страховки; обов’язково враховувати інструкції щодо приземлення під час виконання стрибків через прилади; не стояти близько до особи, яка виконує вправу на приладі; не виконувати вправи з вологими долонями; під час виконання вправ поточним методом, слідкувати за оптимальністю інтервалів між особами, які виконують вправи (з метою запобігання зіткнень). Дії у разі непередбачених обставин: при появі у будь-кого больових відчуттів у суглобах рук, почервоніння або потертості шкіри на долонях та поганого самопочуття, необхідно негайно припинити заняття і сповістити керівника про непередбачену ситуацію; у разі виникнення пожежі у спортивному залі технікуму, необхідно негайно припинити заняття чи будь-які інші заходи та терміново вивести усіх із спортзалу, сповістити про пожежу адміністрацію технікуму і пожежну службу, а самому керівнику по проведенню занять або інших заходів негайно приступити до гасіння пожежі; якщо студент отримав травму, необхідно негайно надати йому першу (долікарську) медичну допомогу, обов’язково сповістити про нещасний випадок адміністрацію технікуму і батьків, і, у разі необхідності, відвезти потерпілого до лікарні. Вимоги безпеки після закінчення занять: прибрати спортивний інвентар у місця його зберігання; протерти жердину сухою ганчіркою і зачистити наждачним папером; ретельно вимити руки і обличчя з милом.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3.19. Під час занять з легкої атлетики: бігові доріжки мають бути спеціально обладнані, не мати бугрів, ям, слизького </w:t>
      </w:r>
      <w:r w:rsidR="0097273E" w:rsidRPr="003B2675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Бігова доріжка має продовжуватись не менш як на 15-20 м за лінію фінішу; ями для стрибків у довжину мають бути заповнені піском, розпушеним на глибину 20-40 см. Пісок повинен бути чистим, розрівняним. Перед кожним стрибком пісок слід розрихлювати і вирівнювати; метання спортивних приладів має проводитися з дотриманням мір безпеки, які унеможливлюють попадання приладів за межі майданчика. Довжина секторів для приземлення спортивних приладів має бути не менш як 60 м. До занять з легкої атлетики допускаються особи, які пройшли медогляд та інструктаж з охорони праці та БЖД.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Можливе отримання травм під час занять з легкої атлетики: падіння на слизькому </w:t>
      </w:r>
      <w:r w:rsidR="00B32D85" w:rsidRPr="003B2675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 або твердому покритті; знаходження студентів в зоні 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метання у момент кидка; виконання вправ без розминки. Вимоги безпеки до початку занять: одягнути спортивний костюм і спортивне взуття; ретельно підготувати пісок у стрибковій ямі, перевірити у ній відсутність сторонніх предметів; протерти ганчіркою прилади для метання. Під час занять враховують, що: бігова доріжка має продовжуватись не менш як на 15-20 м за лінію фінішу; можливі зіткнення команд, пов’язані з несподіваною зупинкою учнів; стрибки не слід виконувати на вологому слизькому </w:t>
      </w:r>
      <w:proofErr w:type="spellStart"/>
      <w:r w:rsidRPr="003B2675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, приземлюватись на руки під час стрибка; у зоні метання не повинно бути студентів під час виконання кидка; обов’язковим є подання команди на право виконати метання приладу; ні в якому разі не можна стояти з правого боку від особи, яка виконує метання; підбирати прилади із зони метання без дозволу керівника категорично забороняється; передавати прилади для метання кидком забороняється; не залишати на місцях занять граблі та лопати; перед метанням будь-якого приладу, обов’язково необхідно подивитися, чи немає людей у напрямку кидка.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Дії у разі непередбачених обставин: у разі поганого самопочуття студент повинен негайно припинити заняття; якщо студент отримав травму, необхідно негайно надати йому першу, (долікарську) медичну допомогу, сповістити про нещасний випадок керівника проведення занять, змагань та інших спортивних заходів, адміністрацію технікуму і батьків та, у разі необхідності, відвезти потерпілого до лікарні.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3.20. Під час проведення занять зі спортивних ігор (футбол, баскетбол): Спортивні майданчики повинні мати покриття із рівною і неслизькою поверхнею, щоб запобігти травмуванням. Майданчики не можна обгороджувати канавами і влаштовувати дерев’яні або цегляні бровки. Не менш ніж на 2 м від майданчика не має бути дерев, стовпів, парканів та інших предметів, що можуть спричинити травму. Під час занять, тренувань, змагань студенти повинні виконувати вказівки </w:t>
      </w:r>
      <w:proofErr w:type="spellStart"/>
      <w:r w:rsidRPr="003B2675">
        <w:rPr>
          <w:rFonts w:ascii="Times New Roman" w:hAnsi="Times New Roman" w:cs="Times New Roman"/>
          <w:sz w:val="28"/>
          <w:szCs w:val="28"/>
          <w:lang w:val="uk-UA"/>
        </w:rPr>
        <w:t>виикладача</w:t>
      </w:r>
      <w:proofErr w:type="spellEnd"/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, тренера, судді, дотримуватись встановлених правил та послідовності занять, поступово додавати навантаження на м’язи з метою запобігання травмувань. Перед початком гри слід відпрацювати техніку ударів та ловлення м’яча, правильну стійку і падіння під час приймання м’яча, персональний захист. Одяг студентів, які займаються спортивними іграми, має бути легким, не сковувати і не утруднювати рухів, взуття у гравців – баскетболістів – на гнучкій підошві, у футболістів - на жорсткій підошві. Гравцям не слід носити на собі будь-які предмети, небезпечні для себе та інших гравців. Студентам, які грають у футбол, слід мати індивідуальні захисні засоби: захисні щитки під гетри, воротарям – рукавички. Кільця для гри в баскетбол слід закріпляти на висоті 3,05м від підлоги спортзалу. </w:t>
      </w:r>
    </w:p>
    <w:p w:rsidR="00B32D85" w:rsidRP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D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Вимоги безпеки після закінчення занять.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4.1. При підведенні підсумків занять, змагань, ігор, тренувань, необхідно підкреслити виконання студентами мір безпеки.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>4.2. Після закінчення занять, лише з дозвол</w:t>
      </w:r>
      <w:r w:rsidR="00B32D85">
        <w:rPr>
          <w:rFonts w:ascii="Times New Roman" w:hAnsi="Times New Roman" w:cs="Times New Roman"/>
          <w:sz w:val="28"/>
          <w:szCs w:val="28"/>
          <w:lang w:val="uk-UA"/>
        </w:rPr>
        <w:t>у керівника по проведенню будь-</w:t>
      </w: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яких заходів, студент має право залишити спортзал або спортмайданчик для перевдягання.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4.3. Обов’язково необхідно ретельно вимити руки та обличчя водою з милом.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4.4. Під час перебування у роздягальні необхідно бути охайним, ні в якому разі не штовхатись.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4.5. Чергові по аудиторії, класу чи спортзалу, ретельно прибирають роздягальню і передають її викладачу фізичного виховання або керівникові по проведенню будь-яких заходів.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4.6. Після третього та четвертого уроків необхідно зробити вологе прибирання підлоги спортзалу та матів. </w:t>
      </w:r>
    </w:p>
    <w:p w:rsidR="00B32D85" w:rsidRP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Вимоги безпеки в аварійних ситуаціях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5.1. У разі появи у будь-кого больових відчуттів, поганого самопочуття, негайно припинити заняття та сповістити безпосереднього керівника про нештатну ситуацію. </w:t>
      </w:r>
    </w:p>
    <w:p w:rsidR="00B32D85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 xml:space="preserve">5.2. Якщо студент зазнав травми, необхідно негайно надати йому першу (долікарську) допомогу, сповістити про нещасний випадок керівника по проведенню заходу, адміністрацію технікуму і батьків та, у разі необхідності, відвезти потерпілого до лікарні. </w:t>
      </w:r>
    </w:p>
    <w:p w:rsidR="00734A2F" w:rsidRDefault="00396B50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75">
        <w:rPr>
          <w:rFonts w:ascii="Times New Roman" w:hAnsi="Times New Roman" w:cs="Times New Roman"/>
          <w:sz w:val="28"/>
          <w:szCs w:val="28"/>
          <w:lang w:val="uk-UA"/>
        </w:rPr>
        <w:t>5.3. У разі виникнення пожежі у спортивному залі, необхідно негайно припинити заняття, зосередитись, терміново вивести усіх із залу, сповістити про пожежу відповідні органи за телефоном 101 та адміністрацію технікуму, а самому викладачу або іншій відповідальній особі за проведення будь-якого заходу, негайно почати ліквідацію пожежі</w:t>
      </w:r>
      <w:r w:rsidR="00B32D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D85" w:rsidRPr="00277214" w:rsidRDefault="00B32D85" w:rsidP="00B32D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5.4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Правила користування вогнегасниками.</w:t>
      </w:r>
    </w:p>
    <w:p w:rsidR="00B32D85" w:rsidRPr="00277214" w:rsidRDefault="00B32D85" w:rsidP="00B32D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Вуглекислотні:</w:t>
      </w:r>
    </w:p>
    <w:p w:rsidR="00B32D85" w:rsidRPr="00277214" w:rsidRDefault="00B32D85" w:rsidP="00B32D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Газові вогнегасники призначені для гасіння рідких і твердих речовин (за винятком тих, що можуть горіти без доступу повітря), електроустановок під напругою, транспортних засобів. </w:t>
      </w:r>
    </w:p>
    <w:p w:rsidR="00B32D85" w:rsidRPr="00277214" w:rsidRDefault="00B32D85" w:rsidP="00B32D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Після використання газових вогнегасників у закритих приміщеннях ці приміщення слід провітрити.</w:t>
      </w:r>
    </w:p>
    <w:p w:rsidR="00B32D85" w:rsidRPr="00277214" w:rsidRDefault="00B32D85" w:rsidP="00B32D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Зберігати вогнегасники слід на спеціальному кронштейні в легкодоступному місці, захищеному від прямих сонячних променів і отоплюючи приладів. Вуглекислотні вогнегасники заряджені рідкою вуглекислотою під тиском 6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МПа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B32D85" w:rsidRPr="00277214" w:rsidRDefault="00B32D85" w:rsidP="00B32D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У разі потреби вогнегасник наближають до джерела пожежі,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розтруб-снігоутворювач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спрямовують на об’єкт, що горить і відкривають вентиль до упору (стискують рукоятку). Струмінь вуглекислотного газу і снігу, що виходить із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розтруба-снігоутворювача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спрямовують у нижню частину полум’я, починаючи з нижнього краю. Вогнегасник при цьому тримають вертик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ально. Аби уникнути обмороження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не слід торкатися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розтруба-снігоутворювача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незахищеними руками.</w:t>
      </w:r>
    </w:p>
    <w:p w:rsidR="00B32D85" w:rsidRPr="00277214" w:rsidRDefault="00B32D85" w:rsidP="00B32D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Вогнегасна дія вуглекислоти полягає в зниженні концентрації кисню в зоні горіння та охолодженні об’єкта, що горить.</w:t>
      </w:r>
    </w:p>
    <w:p w:rsidR="00B32D85" w:rsidRPr="00277214" w:rsidRDefault="00B32D85" w:rsidP="00B32D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6"/>
      <w:bookmarkEnd w:id="0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Порошкові:</w:t>
      </w:r>
    </w:p>
    <w:p w:rsidR="00B32D85" w:rsidRPr="00277214" w:rsidRDefault="00B32D85" w:rsidP="00B32D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Порошкові вогнегасники призначені для гасіння загорянь рідин, що легко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займа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ються ( нафтопродукти тощо), матеріалів які тліють, лужних і лужноземельних матеріалів,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електро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установок до 1000 В, транспортних засобів, а також пожеж на об’єктах із великими матеріальними цінностями. Зберігати вогнегасники слід вертикально в легкодоступному місці, захищеному від прямих сонячних променів і отоплюючи приладів. </w:t>
      </w:r>
    </w:p>
    <w:p w:rsidR="00B32D85" w:rsidRPr="00277214" w:rsidRDefault="00B32D85" w:rsidP="00B32D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 час гасіння загорань вогнегасник треба взяти за корпус біля днища, приблизити до вогню на відстань 1-2м, вдарити головкою об тверду поверхню, при цьому бойок проколює алюмінієву пробку балончика з вуглекислотою (або натиснути рукоятку до упору, попередньо висмикнувши запірне кільце.)</w:t>
      </w:r>
    </w:p>
    <w:p w:rsidR="00B32D85" w:rsidRPr="00277214" w:rsidRDefault="00B32D85" w:rsidP="00B32D8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Струмінь порошку спрямовують так, щоб хмара порошку повністю накрила джерело горіння (правила користування вогнегасниками зазначені на корпусі кожного вогнегасника).</w:t>
      </w:r>
    </w:p>
    <w:p w:rsidR="00B32D85" w:rsidRPr="00277214" w:rsidRDefault="00B32D85" w:rsidP="00B32D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32D85" w:rsidRPr="00277214" w:rsidRDefault="00B32D85" w:rsidP="00B32D85">
      <w:pPr>
        <w:pStyle w:val="a3"/>
        <w:spacing w:before="0" w:beforeAutospacing="0" w:after="0" w:afterAutospacing="0"/>
        <w:ind w:firstLine="540"/>
        <w:jc w:val="center"/>
        <w:rPr>
          <w:rStyle w:val="a5"/>
          <w:sz w:val="28"/>
          <w:szCs w:val="28"/>
          <w:lang w:val="uk-UA"/>
        </w:rPr>
      </w:pPr>
    </w:p>
    <w:p w:rsidR="00B32D85" w:rsidRPr="00277214" w:rsidRDefault="00B32D85" w:rsidP="00B32D85">
      <w:pPr>
        <w:pStyle w:val="a3"/>
        <w:spacing w:before="0" w:beforeAutospacing="0" w:after="0" w:afterAutospacing="0"/>
        <w:ind w:firstLine="54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B32D85" w:rsidRPr="00ED1C36" w:rsidTr="0036663C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Голова циклової комісії </w:t>
            </w:r>
          </w:p>
        </w:tc>
        <w:tc>
          <w:tcPr>
            <w:tcW w:w="360" w:type="dxa"/>
            <w:vAlign w:val="center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А.М. </w:t>
            </w:r>
            <w:proofErr w:type="spellStart"/>
            <w:r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Лутчин</w:t>
            </w:r>
            <w:proofErr w:type="spellEnd"/>
          </w:p>
        </w:tc>
      </w:tr>
      <w:tr w:rsidR="00B32D85" w:rsidRPr="00ED1C36" w:rsidTr="0036663C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B32D85" w:rsidRDefault="00B32D85" w:rsidP="00B32D85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2D85" w:rsidRPr="00277214" w:rsidRDefault="00B32D85" w:rsidP="00B32D8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Погоджено:</w:t>
      </w: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B32D85" w:rsidRPr="00ED1C36" w:rsidTr="0036663C">
        <w:trPr>
          <w:trHeight w:val="302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Голова профспілки </w:t>
            </w:r>
          </w:p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МК</w:t>
            </w:r>
            <w:proofErr w:type="spellEnd"/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ДВНЗ «НГУ»</w:t>
            </w:r>
          </w:p>
        </w:tc>
        <w:tc>
          <w:tcPr>
            <w:tcW w:w="360" w:type="dxa"/>
            <w:vAlign w:val="bottom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bottom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Учаєва</w:t>
            </w:r>
            <w:proofErr w:type="spellEnd"/>
          </w:p>
        </w:tc>
      </w:tr>
      <w:tr w:rsidR="00B32D85" w:rsidRPr="00ED1C36" w:rsidTr="0036663C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B32D85" w:rsidRPr="00ED1C36" w:rsidRDefault="00B32D85" w:rsidP="0036663C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B32D85" w:rsidRPr="00277214" w:rsidRDefault="00B32D85" w:rsidP="00B32D85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360"/>
        <w:gridCol w:w="1980"/>
        <w:gridCol w:w="332"/>
        <w:gridCol w:w="3191"/>
      </w:tblGrid>
      <w:tr w:rsidR="00B32D85" w:rsidRPr="00ED1C36" w:rsidTr="0036663C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B32D85" w:rsidRPr="00ED1C36" w:rsidRDefault="00B32D85" w:rsidP="0036663C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  <w:r w:rsidRPr="00ED1C36">
              <w:rPr>
                <w:rStyle w:val="a5"/>
                <w:i w:val="0"/>
                <w:sz w:val="28"/>
                <w:szCs w:val="28"/>
                <w:lang w:val="uk-UA"/>
              </w:rPr>
              <w:t>Інж</w:t>
            </w:r>
            <w:r>
              <w:rPr>
                <w:rStyle w:val="a5"/>
                <w:i w:val="0"/>
                <w:sz w:val="28"/>
                <w:szCs w:val="28"/>
                <w:lang w:val="uk-UA"/>
              </w:rPr>
              <w:t>е</w:t>
            </w:r>
            <w:r w:rsidRPr="00ED1C36">
              <w:rPr>
                <w:rStyle w:val="a5"/>
                <w:i w:val="0"/>
                <w:sz w:val="28"/>
                <w:szCs w:val="28"/>
                <w:lang w:val="uk-UA"/>
              </w:rPr>
              <w:t>нер з ОП</w:t>
            </w:r>
          </w:p>
        </w:tc>
        <w:tc>
          <w:tcPr>
            <w:tcW w:w="360" w:type="dxa"/>
            <w:vAlign w:val="center"/>
          </w:tcPr>
          <w:p w:rsidR="00B32D85" w:rsidRPr="00ED1C36" w:rsidRDefault="00B32D85" w:rsidP="0036663C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32D85" w:rsidRPr="00ED1C36" w:rsidRDefault="00B32D85" w:rsidP="0036663C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B32D85" w:rsidRPr="00ED1C36" w:rsidRDefault="00B32D85" w:rsidP="0036663C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B32D85" w:rsidRPr="00ED1C36" w:rsidRDefault="00B32D85" w:rsidP="0036663C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5"/>
                <w:i w:val="0"/>
                <w:sz w:val="28"/>
                <w:szCs w:val="28"/>
                <w:lang w:val="uk-UA"/>
              </w:rPr>
              <w:t xml:space="preserve">Т.Б. </w:t>
            </w:r>
            <w:proofErr w:type="spellStart"/>
            <w:r>
              <w:rPr>
                <w:rStyle w:val="a5"/>
                <w:i w:val="0"/>
                <w:sz w:val="28"/>
                <w:szCs w:val="28"/>
                <w:lang w:val="uk-UA"/>
              </w:rPr>
              <w:t>Тарабанська</w:t>
            </w:r>
            <w:proofErr w:type="spellEnd"/>
          </w:p>
        </w:tc>
      </w:tr>
      <w:tr w:rsidR="00B32D85" w:rsidRPr="00ED1C36" w:rsidTr="0036663C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B32D85" w:rsidRPr="00ED1C36" w:rsidRDefault="00B32D85" w:rsidP="0036663C">
            <w:pPr>
              <w:ind w:firstLine="540"/>
              <w:jc w:val="center"/>
              <w:rPr>
                <w:sz w:val="16"/>
                <w:szCs w:val="16"/>
                <w:lang w:val="uk-UA"/>
              </w:rPr>
            </w:pPr>
            <w:r w:rsidRPr="00ED1C36">
              <w:rPr>
                <w:rStyle w:val="a5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B32D85" w:rsidRPr="00ED1C36" w:rsidRDefault="00B32D85" w:rsidP="0036663C">
            <w:pPr>
              <w:ind w:firstLine="540"/>
              <w:jc w:val="center"/>
              <w:rPr>
                <w:sz w:val="16"/>
                <w:szCs w:val="16"/>
                <w:lang w:val="uk-UA"/>
              </w:rPr>
            </w:pPr>
            <w:r w:rsidRPr="00ED1C36">
              <w:rPr>
                <w:rStyle w:val="a5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B32D85" w:rsidRPr="00ED1C36" w:rsidRDefault="00B32D85" w:rsidP="0036663C">
            <w:pPr>
              <w:ind w:firstLine="540"/>
              <w:jc w:val="center"/>
              <w:rPr>
                <w:sz w:val="16"/>
                <w:szCs w:val="16"/>
                <w:lang w:val="uk-UA"/>
              </w:rPr>
            </w:pPr>
            <w:r w:rsidRPr="00ED1C36">
              <w:rPr>
                <w:rStyle w:val="a5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B32D85" w:rsidRPr="00277214" w:rsidRDefault="00B32D85" w:rsidP="00B32D85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B32D85" w:rsidRPr="003B2675" w:rsidRDefault="00B32D85" w:rsidP="003B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2D85" w:rsidRPr="003B2675" w:rsidSect="0073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B50"/>
    <w:rsid w:val="000220D6"/>
    <w:rsid w:val="00061F68"/>
    <w:rsid w:val="0009662A"/>
    <w:rsid w:val="000B34C5"/>
    <w:rsid w:val="000C0690"/>
    <w:rsid w:val="00122D17"/>
    <w:rsid w:val="00124FBD"/>
    <w:rsid w:val="00125FF5"/>
    <w:rsid w:val="00145246"/>
    <w:rsid w:val="001803AC"/>
    <w:rsid w:val="00194694"/>
    <w:rsid w:val="00195852"/>
    <w:rsid w:val="001C5932"/>
    <w:rsid w:val="001C5BDB"/>
    <w:rsid w:val="001D06A5"/>
    <w:rsid w:val="001D784B"/>
    <w:rsid w:val="001E76AF"/>
    <w:rsid w:val="001F167F"/>
    <w:rsid w:val="002106B6"/>
    <w:rsid w:val="00240D02"/>
    <w:rsid w:val="0028181A"/>
    <w:rsid w:val="002B1CC4"/>
    <w:rsid w:val="003139BE"/>
    <w:rsid w:val="003236A3"/>
    <w:rsid w:val="00363DA0"/>
    <w:rsid w:val="00367A08"/>
    <w:rsid w:val="00371434"/>
    <w:rsid w:val="00396B50"/>
    <w:rsid w:val="003B2675"/>
    <w:rsid w:val="003C6798"/>
    <w:rsid w:val="003E6BD1"/>
    <w:rsid w:val="00402982"/>
    <w:rsid w:val="0043461A"/>
    <w:rsid w:val="00451AF3"/>
    <w:rsid w:val="004529B1"/>
    <w:rsid w:val="00456802"/>
    <w:rsid w:val="00482BE4"/>
    <w:rsid w:val="004950B5"/>
    <w:rsid w:val="004C1F7A"/>
    <w:rsid w:val="004D05DA"/>
    <w:rsid w:val="004E17EC"/>
    <w:rsid w:val="004F78F4"/>
    <w:rsid w:val="005047E6"/>
    <w:rsid w:val="00504F8E"/>
    <w:rsid w:val="00543927"/>
    <w:rsid w:val="00576FA7"/>
    <w:rsid w:val="005D3341"/>
    <w:rsid w:val="0063117D"/>
    <w:rsid w:val="00636F22"/>
    <w:rsid w:val="00652E35"/>
    <w:rsid w:val="0068054F"/>
    <w:rsid w:val="00696865"/>
    <w:rsid w:val="006A4CF6"/>
    <w:rsid w:val="006E4459"/>
    <w:rsid w:val="0071671D"/>
    <w:rsid w:val="00732A4B"/>
    <w:rsid w:val="00734A2F"/>
    <w:rsid w:val="00745DD8"/>
    <w:rsid w:val="007602CE"/>
    <w:rsid w:val="00762D64"/>
    <w:rsid w:val="007941BE"/>
    <w:rsid w:val="007B7801"/>
    <w:rsid w:val="007F3467"/>
    <w:rsid w:val="00814CED"/>
    <w:rsid w:val="00831C4C"/>
    <w:rsid w:val="00833D1F"/>
    <w:rsid w:val="008545C5"/>
    <w:rsid w:val="008645F6"/>
    <w:rsid w:val="008757AA"/>
    <w:rsid w:val="00931973"/>
    <w:rsid w:val="0097273E"/>
    <w:rsid w:val="00975015"/>
    <w:rsid w:val="009836E6"/>
    <w:rsid w:val="009E228F"/>
    <w:rsid w:val="009F4DA7"/>
    <w:rsid w:val="00A17810"/>
    <w:rsid w:val="00A231E9"/>
    <w:rsid w:val="00A26592"/>
    <w:rsid w:val="00A42E0E"/>
    <w:rsid w:val="00A45320"/>
    <w:rsid w:val="00A456E2"/>
    <w:rsid w:val="00A67F3E"/>
    <w:rsid w:val="00A746E1"/>
    <w:rsid w:val="00A964CD"/>
    <w:rsid w:val="00A96CD0"/>
    <w:rsid w:val="00AA2199"/>
    <w:rsid w:val="00AB32CF"/>
    <w:rsid w:val="00AC0C9F"/>
    <w:rsid w:val="00AF6D03"/>
    <w:rsid w:val="00B32D85"/>
    <w:rsid w:val="00B51B77"/>
    <w:rsid w:val="00B63831"/>
    <w:rsid w:val="00B73518"/>
    <w:rsid w:val="00B80CC3"/>
    <w:rsid w:val="00B90426"/>
    <w:rsid w:val="00BA48CB"/>
    <w:rsid w:val="00BA70A5"/>
    <w:rsid w:val="00BB2C39"/>
    <w:rsid w:val="00BE3AC6"/>
    <w:rsid w:val="00BE59CD"/>
    <w:rsid w:val="00BF602B"/>
    <w:rsid w:val="00BF6EC2"/>
    <w:rsid w:val="00C2077A"/>
    <w:rsid w:val="00C36359"/>
    <w:rsid w:val="00C42FE5"/>
    <w:rsid w:val="00C43190"/>
    <w:rsid w:val="00C87BC0"/>
    <w:rsid w:val="00CE666B"/>
    <w:rsid w:val="00D34336"/>
    <w:rsid w:val="00D43F66"/>
    <w:rsid w:val="00D56C13"/>
    <w:rsid w:val="00D61DD4"/>
    <w:rsid w:val="00D72C5D"/>
    <w:rsid w:val="00D86AA3"/>
    <w:rsid w:val="00DD2DA6"/>
    <w:rsid w:val="00E12B52"/>
    <w:rsid w:val="00E33027"/>
    <w:rsid w:val="00E345C8"/>
    <w:rsid w:val="00E56AF8"/>
    <w:rsid w:val="00E80407"/>
    <w:rsid w:val="00EC323D"/>
    <w:rsid w:val="00EF7DCB"/>
    <w:rsid w:val="00F071D8"/>
    <w:rsid w:val="00F317FC"/>
    <w:rsid w:val="00F42A4A"/>
    <w:rsid w:val="00F515E8"/>
    <w:rsid w:val="00F81247"/>
    <w:rsid w:val="00F927C6"/>
    <w:rsid w:val="00F94DAB"/>
    <w:rsid w:val="00FB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67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3B2675"/>
    <w:rPr>
      <w:b/>
      <w:bCs/>
    </w:rPr>
  </w:style>
  <w:style w:type="character" w:styleId="a5">
    <w:name w:val="Emphasis"/>
    <w:basedOn w:val="a0"/>
    <w:qFormat/>
    <w:rsid w:val="00B32D85"/>
    <w:rPr>
      <w:i/>
      <w:iCs/>
    </w:rPr>
  </w:style>
  <w:style w:type="table" w:styleId="a6">
    <w:name w:val="Table Grid"/>
    <w:basedOn w:val="a1"/>
    <w:rsid w:val="00B32D8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2016-12-14T07:51:00Z</dcterms:created>
  <dcterms:modified xsi:type="dcterms:W3CDTF">2016-12-22T06:12:00Z</dcterms:modified>
</cp:coreProperties>
</file>